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r>
        <w:rPr>
          <w:rFonts w:hint="eastAsia" w:ascii="仿宋" w:hAnsi="仿宋" w:eastAsia="仿宋" w:cs="仿宋_GB2312"/>
          <w:b w:val="0"/>
          <w:bCs w:val="0"/>
          <w:color w:val="000000"/>
          <w:sz w:val="32"/>
          <w:szCs w:val="32"/>
        </w:rPr>
        <w:t>院青发〔20</w:t>
      </w:r>
      <w:r>
        <w:rPr>
          <w:rFonts w:hint="eastAsia" w:ascii="仿宋" w:hAnsi="仿宋" w:eastAsia="仿宋" w:cs="仿宋_GB2312"/>
          <w:b w:val="0"/>
          <w:bCs w:val="0"/>
          <w:color w:val="000000"/>
          <w:sz w:val="32"/>
          <w:szCs w:val="32"/>
          <w:lang w:val="en-US" w:eastAsia="zh-CN"/>
        </w:rPr>
        <w:t>20</w:t>
      </w:r>
      <w:r>
        <w:rPr>
          <w:rFonts w:hint="eastAsia" w:ascii="仿宋" w:hAnsi="仿宋" w:eastAsia="仿宋" w:cs="仿宋_GB2312"/>
          <w:b w:val="0"/>
          <w:bCs w:val="0"/>
          <w:color w:val="000000"/>
          <w:sz w:val="32"/>
          <w:szCs w:val="32"/>
        </w:rPr>
        <w:t>〕</w:t>
      </w:r>
      <w:r>
        <w:rPr>
          <w:rFonts w:hint="eastAsia" w:ascii="仿宋" w:hAnsi="仿宋" w:eastAsia="仿宋" w:cs="仿宋_GB2312"/>
          <w:b w:val="0"/>
          <w:bCs w:val="0"/>
          <w:color w:val="000000"/>
          <w:sz w:val="32"/>
          <w:szCs w:val="32"/>
          <w:lang w:val="en-US" w:eastAsia="zh-CN"/>
        </w:rPr>
        <w:t>12</w:t>
      </w:r>
      <w:r>
        <w:rPr>
          <w:rFonts w:hint="eastAsia" w:ascii="仿宋" w:hAnsi="仿宋" w:eastAsia="仿宋" w:cs="仿宋_GB2312"/>
          <w:b w:val="0"/>
          <w:bCs w:val="0"/>
          <w:color w:val="000000"/>
          <w:sz w:val="32"/>
          <w:szCs w:val="32"/>
        </w:rPr>
        <w:t>号</w:t>
      </w:r>
    </w:p>
    <w:p>
      <w:pPr>
        <w:jc w:val="both"/>
        <w:rPr>
          <w:rFonts w:hint="eastAsia" w:asciiTheme="majorEastAsia" w:hAnsiTheme="majorEastAsia" w:eastAsiaTheme="majorEastAsia" w:cstheme="majorEastAsia"/>
          <w:sz w:val="44"/>
          <w:szCs w:val="44"/>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关于我校开展防范电信网络诈骗线上</w:t>
      </w:r>
      <w:r>
        <w:rPr>
          <w:rFonts w:hint="eastAsia" w:asciiTheme="majorEastAsia" w:hAnsiTheme="majorEastAsia" w:eastAsiaTheme="majorEastAsia" w:cstheme="majorEastAsia"/>
          <w:sz w:val="44"/>
          <w:szCs w:val="44"/>
          <w:lang w:val="en-US" w:eastAsia="zh-CN"/>
        </w:rPr>
        <w:t>宣传教育</w:t>
      </w:r>
      <w:r>
        <w:rPr>
          <w:rFonts w:hint="eastAsia" w:asciiTheme="majorEastAsia" w:hAnsiTheme="majorEastAsia" w:eastAsiaTheme="majorEastAsia" w:cstheme="majorEastAsia"/>
          <w:sz w:val="44"/>
          <w:szCs w:val="44"/>
        </w:rPr>
        <w:t>活动的通知</w:t>
      </w:r>
    </w:p>
    <w:p>
      <w:pPr>
        <w:rPr>
          <w:rFonts w:asciiTheme="majorEastAsia" w:hAnsiTheme="majorEastAsia" w:eastAsiaTheme="majorEastAsia" w:cstheme="majorEastAsia"/>
          <w:sz w:val="44"/>
          <w:szCs w:val="44"/>
        </w:rPr>
      </w:pPr>
    </w:p>
    <w:p>
      <w:pPr>
        <w:spacing w:line="360" w:lineRule="auto"/>
        <w:rPr>
          <w:rFonts w:ascii="仿宋" w:hAnsi="仿宋" w:eastAsia="仿宋" w:cs="仿宋"/>
          <w:sz w:val="32"/>
          <w:szCs w:val="32"/>
        </w:rPr>
      </w:pPr>
      <w:r>
        <w:rPr>
          <w:rFonts w:hint="eastAsia" w:ascii="仿宋" w:hAnsi="仿宋" w:eastAsia="仿宋" w:cs="仿宋"/>
          <w:sz w:val="32"/>
          <w:szCs w:val="32"/>
        </w:rPr>
        <w:t>各分团委：</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认真贯彻落实襄阳团市委防范和打击电信网络诈骗犯罪工作的部署安排，提高我校青年学生防电诈意识，坚决遏制电信网络诈骗高发势头，有效维护我校青年学生的安全与权益，现将我校开展防范电信网络诈骗线上</w:t>
      </w:r>
      <w:r>
        <w:rPr>
          <w:rFonts w:hint="eastAsia" w:ascii="仿宋" w:hAnsi="仿宋" w:eastAsia="仿宋" w:cs="仿宋"/>
          <w:sz w:val="32"/>
          <w:szCs w:val="32"/>
          <w:lang w:val="en-US" w:eastAsia="zh-CN"/>
        </w:rPr>
        <w:t>宣传教育</w:t>
      </w:r>
      <w:r>
        <w:rPr>
          <w:rFonts w:hint="eastAsia" w:ascii="仿宋" w:hAnsi="仿宋" w:eastAsia="仿宋" w:cs="仿宋"/>
          <w:sz w:val="32"/>
          <w:szCs w:val="32"/>
        </w:rPr>
        <w:t>活动的有关事项通知如下：</w:t>
      </w:r>
    </w:p>
    <w:p>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活动时间</w:t>
      </w:r>
    </w:p>
    <w:p>
      <w:pPr>
        <w:spacing w:line="360" w:lineRule="auto"/>
        <w:ind w:firstLine="1134"/>
        <w:rPr>
          <w:rFonts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活动对象</w:t>
      </w:r>
    </w:p>
    <w:p>
      <w:pPr>
        <w:spacing w:line="360" w:lineRule="auto"/>
        <w:ind w:left="420" w:leftChars="200" w:firstLine="640" w:firstLineChars="200"/>
        <w:rPr>
          <w:rFonts w:ascii="仿宋" w:hAnsi="仿宋" w:eastAsia="仿宋" w:cs="仿宋"/>
          <w:sz w:val="32"/>
          <w:szCs w:val="32"/>
        </w:rPr>
      </w:pPr>
      <w:r>
        <w:rPr>
          <w:rFonts w:hint="eastAsia" w:ascii="仿宋" w:hAnsi="仿宋" w:eastAsia="仿宋" w:cs="仿宋"/>
          <w:sz w:val="32"/>
          <w:szCs w:val="32"/>
        </w:rPr>
        <w:t>全体学生</w:t>
      </w:r>
    </w:p>
    <w:p>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1.6月1日—6月5日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通过班级 QQ群、微信群等新媒介要求学生阅读《防范电信网络诈骗告知书》（附件），各辅导员需向学生发送“大家是否已阅读《防范电信网络诈骗告知书》”信息，学生需反馈“XXX已阅读《防范电信网络诈骗告知书》”，做到全员覆盖，</w:t>
      </w:r>
      <w:r>
        <w:rPr>
          <w:rFonts w:hint="eastAsia" w:ascii="仿宋" w:hAnsi="仿宋" w:eastAsia="仿宋" w:cs="仿宋"/>
          <w:sz w:val="32"/>
          <w:szCs w:val="32"/>
          <w:lang w:val="en-US" w:eastAsia="zh-CN"/>
        </w:rPr>
        <w:t>6月5日</w:t>
      </w:r>
      <w:r>
        <w:rPr>
          <w:rFonts w:hint="eastAsia" w:ascii="仿宋" w:hAnsi="仿宋" w:eastAsia="仿宋" w:cs="仿宋"/>
          <w:sz w:val="32"/>
          <w:szCs w:val="32"/>
        </w:rPr>
        <w:t>上午前，各分团委需将覆盖人数信息报送至田老师处，相关截图自行保存。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6月6日—6月12日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各分团委开展“防范电信网络诈骗线上主题团日活动”，</w:t>
      </w:r>
      <w:r>
        <w:rPr>
          <w:rFonts w:hint="eastAsia" w:ascii="仿宋" w:hAnsi="仿宋" w:eastAsia="仿宋" w:cs="仿宋"/>
          <w:sz w:val="32"/>
          <w:szCs w:val="32"/>
        </w:rPr>
        <w:t>组织学生集体观看防电诈的公益广告和视频宣传片，报道相关的典型案例，以案释法，重点对学生非法网贷、贩卖银行卡等行为开展防电诈宣传，讲清电诈手段，讲透危险利害，让学生认识电诈陷阱，认清电诈危害，时刻保持警惕，远离电诈。</w:t>
      </w:r>
      <w:r>
        <w:rPr>
          <w:rFonts w:hint="eastAsia" w:ascii="仿宋" w:hAnsi="仿宋" w:eastAsia="仿宋" w:cs="仿宋"/>
          <w:sz w:val="32"/>
          <w:szCs w:val="32"/>
          <w:lang w:val="en-US" w:eastAsia="zh-CN"/>
        </w:rPr>
        <w:t>请于6月12日上午前将活动总结报送至田老师处。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6月13日—6月19日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校团委将通过官方微信公众号推出“防电诈宣传教育专题”活动，普及各类防电诈宣传材料和形式手段，确保防电诈宣传全方位、多层次，届时请各分团委积极转发。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6月20日—6月26日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分团委需根据自身实际情况，在活动期间以丰富多样的形式开展防电诈线上宣传教育活动，例如开展防电诈知识竞赛、征集防电诈宣传口号等活动，并通过微信、微博进行展示，6月26日上午前将活动总结和成果报送至田老师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numPr>
          <w:ilvl w:val="0"/>
          <w:numId w:val="1"/>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活动要求 </w:t>
      </w:r>
    </w:p>
    <w:p>
      <w:pPr>
        <w:numPr>
          <w:ilvl w:val="0"/>
          <w:numId w:val="3"/>
        </w:numPr>
        <w:spacing w:line="360" w:lineRule="auto"/>
        <w:ind w:left="420" w:leftChars="200" w:firstLine="640" w:firstLineChars="200"/>
        <w:rPr>
          <w:rFonts w:ascii="仿宋" w:hAnsi="仿宋" w:eastAsia="仿宋" w:cs="仿宋"/>
          <w:sz w:val="32"/>
          <w:szCs w:val="32"/>
        </w:rPr>
      </w:pPr>
      <w:r>
        <w:rPr>
          <w:rFonts w:hint="eastAsia" w:ascii="仿宋" w:hAnsi="仿宋" w:eastAsia="仿宋" w:cs="仿宋"/>
          <w:sz w:val="32"/>
          <w:szCs w:val="32"/>
        </w:rPr>
        <w:t>提高认识，广泛宣传。各分团委要充分认识到新冠肺炎疫情后期电诈案件高发、多发态势，确保防电诈宣传全覆盖，坚决筑牢反诈“防火墙”。</w:t>
      </w:r>
    </w:p>
    <w:p>
      <w:pPr>
        <w:numPr>
          <w:ilvl w:val="0"/>
          <w:numId w:val="3"/>
        </w:numPr>
        <w:spacing w:line="360" w:lineRule="auto"/>
        <w:ind w:left="420" w:leftChars="200" w:firstLine="640" w:firstLineChars="200"/>
        <w:rPr>
          <w:rFonts w:ascii="仿宋" w:hAnsi="仿宋" w:eastAsia="仿宋" w:cs="仿宋"/>
          <w:sz w:val="32"/>
          <w:szCs w:val="32"/>
        </w:rPr>
      </w:pPr>
      <w:r>
        <w:rPr>
          <w:rFonts w:hint="eastAsia" w:ascii="仿宋" w:hAnsi="仿宋" w:eastAsia="仿宋" w:cs="仿宋"/>
          <w:sz w:val="32"/>
          <w:szCs w:val="32"/>
        </w:rPr>
        <w:t>精心策划，务求实效。各分团委要抓细节、重落实、见实效，确保防电诈宣传深入人心。</w:t>
      </w:r>
    </w:p>
    <w:p>
      <w:pPr>
        <w:spacing w:line="360" w:lineRule="auto"/>
        <w:ind w:firstLine="480" w:firstLineChars="150"/>
        <w:rPr>
          <w:rFonts w:hint="eastAsia" w:ascii="仿宋" w:hAnsi="仿宋" w:eastAsia="仿宋" w:cs="仿宋"/>
          <w:sz w:val="32"/>
          <w:szCs w:val="32"/>
        </w:rPr>
      </w:pPr>
    </w:p>
    <w:p>
      <w:pPr>
        <w:spacing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附件：《防范电信网络诈骗告知书》</w:t>
      </w:r>
    </w:p>
    <w:p>
      <w:pPr>
        <w:spacing w:line="360" w:lineRule="auto"/>
        <w:ind w:firstLine="480" w:firstLineChars="150"/>
        <w:rPr>
          <w:rFonts w:hint="eastAsia" w:ascii="仿宋" w:hAnsi="仿宋" w:eastAsia="仿宋" w:cs="仿宋"/>
          <w:sz w:val="32"/>
          <w:szCs w:val="32"/>
        </w:rPr>
      </w:pPr>
    </w:p>
    <w:p>
      <w:pPr>
        <w:spacing w:line="360" w:lineRule="auto"/>
        <w:ind w:left="840" w:leftChars="400"/>
        <w:rPr>
          <w:rFonts w:ascii="仿宋" w:hAnsi="仿宋" w:eastAsia="仿宋" w:cs="仿宋"/>
          <w:sz w:val="32"/>
          <w:szCs w:val="32"/>
        </w:rPr>
      </w:pPr>
      <w:r>
        <w:rPr>
          <w:rFonts w:hint="eastAsia" w:ascii="仿宋" w:hAnsi="仿宋" w:eastAsia="仿宋" w:cs="仿宋"/>
          <w:sz w:val="32"/>
          <w:szCs w:val="32"/>
        </w:rPr>
        <w:t xml:space="preserve">              共青团湖北文理学院理工学院委员会</w:t>
      </w:r>
    </w:p>
    <w:p>
      <w:pPr>
        <w:spacing w:line="360" w:lineRule="auto"/>
        <w:ind w:left="840" w:leftChars="400"/>
        <w:rPr>
          <w:rFonts w:hint="eastAsia" w:ascii="仿宋" w:hAnsi="仿宋" w:eastAsia="仿宋" w:cs="仿宋"/>
          <w:sz w:val="32"/>
          <w:szCs w:val="32"/>
        </w:rPr>
      </w:pPr>
      <w:r>
        <w:rPr>
          <w:rFonts w:hint="eastAsia" w:ascii="仿宋" w:hAnsi="仿宋" w:eastAsia="仿宋" w:cs="仿宋"/>
          <w:sz w:val="32"/>
          <w:szCs w:val="32"/>
        </w:rPr>
        <w:t xml:space="preserve">                     2020年5月</w:t>
      </w:r>
      <w:r>
        <w:rPr>
          <w:rFonts w:hint="eastAsia" w:ascii="仿宋" w:hAnsi="仿宋" w:eastAsia="仿宋" w:cs="仿宋"/>
          <w:sz w:val="32"/>
          <w:szCs w:val="32"/>
          <w:lang w:val="en-US" w:eastAsia="zh-CN"/>
        </w:rPr>
        <w:t>29</w:t>
      </w:r>
      <w:bookmarkStart w:id="12" w:name="_GoBack"/>
      <w:bookmarkEnd w:id="12"/>
      <w:r>
        <w:rPr>
          <w:rFonts w:hint="eastAsia" w:ascii="仿宋" w:hAnsi="仿宋" w:eastAsia="仿宋" w:cs="仿宋"/>
          <w:sz w:val="32"/>
          <w:szCs w:val="32"/>
        </w:rPr>
        <w:t>日</w:t>
      </w: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ind w:left="840" w:leftChars="400"/>
        <w:rPr>
          <w:rFonts w:hint="eastAsia" w:ascii="仿宋" w:hAnsi="仿宋" w:eastAsia="仿宋" w:cs="仿宋"/>
          <w:sz w:val="32"/>
          <w:szCs w:val="32"/>
        </w:rPr>
      </w:pPr>
    </w:p>
    <w:p>
      <w:pPr>
        <w:spacing w:line="360" w:lineRule="auto"/>
        <w:rPr>
          <w:rFonts w:ascii="仿宋" w:hAnsi="仿宋" w:eastAsia="仿宋" w:cs="仿宋"/>
          <w:sz w:val="32"/>
          <w:szCs w:val="32"/>
        </w:rPr>
      </w:pPr>
      <w:r>
        <w:rPr>
          <w:rFonts w:hint="eastAsia" w:ascii="仿宋" w:hAnsi="仿宋" w:eastAsia="仿宋" w:cs="仿宋"/>
          <w:sz w:val="32"/>
          <w:szCs w:val="32"/>
        </w:rPr>
        <w:t>附件：</w:t>
      </w:r>
    </w:p>
    <w:p>
      <w:pPr>
        <w:pStyle w:val="5"/>
        <w:keepNext/>
        <w:keepLines/>
        <w:spacing w:after="0" w:line="360" w:lineRule="auto"/>
        <w:rPr>
          <w:rFonts w:ascii="仿宋" w:hAnsi="仿宋" w:eastAsia="仿宋" w:cs="仿宋"/>
          <w:sz w:val="32"/>
          <w:szCs w:val="32"/>
        </w:rPr>
      </w:pPr>
      <w:bookmarkStart w:id="0" w:name="bookmark20"/>
      <w:bookmarkStart w:id="1" w:name="bookmark22"/>
      <w:bookmarkStart w:id="2" w:name="bookmark21"/>
      <w:r>
        <w:rPr>
          <w:rFonts w:hint="eastAsia" w:ascii="仿宋" w:hAnsi="仿宋" w:eastAsia="仿宋" w:cs="仿宋"/>
          <w:color w:val="000000"/>
          <w:sz w:val="32"/>
          <w:szCs w:val="32"/>
        </w:rPr>
        <w:t>防范电信网络诈骗告知书</w:t>
      </w:r>
      <w:bookmarkEnd w:id="0"/>
      <w:bookmarkEnd w:id="1"/>
      <w:bookmarkEnd w:id="2"/>
    </w:p>
    <w:p>
      <w:pPr>
        <w:pStyle w:val="6"/>
        <w:spacing w:after="580" w:line="360" w:lineRule="auto"/>
        <w:ind w:firstLine="0"/>
        <w:jc w:val="center"/>
        <w:rPr>
          <w:rFonts w:ascii="仿宋" w:hAnsi="仿宋" w:eastAsia="仿宋" w:cs="仿宋"/>
          <w:sz w:val="32"/>
          <w:szCs w:val="32"/>
        </w:rPr>
      </w:pPr>
      <w:r>
        <w:rPr>
          <w:rFonts w:hint="eastAsia" w:ascii="仿宋" w:hAnsi="仿宋" w:eastAsia="仿宋" w:cs="仿宋"/>
          <w:color w:val="000000"/>
          <w:sz w:val="32"/>
          <w:szCs w:val="32"/>
        </w:rPr>
        <w:t>（对财务人员、高校学生和中小学幼儿园家长使用）</w:t>
      </w:r>
    </w:p>
    <w:p>
      <w:pPr>
        <w:pStyle w:val="6"/>
        <w:spacing w:line="360" w:lineRule="auto"/>
        <w:jc w:val="left"/>
        <w:rPr>
          <w:rFonts w:ascii="仿宋" w:hAnsi="仿宋" w:eastAsia="仿宋" w:cs="仿宋"/>
          <w:sz w:val="32"/>
          <w:szCs w:val="32"/>
        </w:rPr>
      </w:pPr>
      <w:r>
        <w:rPr>
          <w:rFonts w:hint="eastAsia" w:ascii="仿宋" w:hAnsi="仿宋" w:eastAsia="仿宋" w:cs="仿宋"/>
          <w:color w:val="000000"/>
          <w:sz w:val="32"/>
          <w:szCs w:val="32"/>
        </w:rPr>
        <w:t>为避免遭受电信诈骗犯罪不法侵害，现告知如下：</w:t>
      </w:r>
    </w:p>
    <w:p>
      <w:pPr>
        <w:pStyle w:val="6"/>
        <w:tabs>
          <w:tab w:val="left" w:pos="1250"/>
        </w:tabs>
        <w:spacing w:line="360" w:lineRule="auto"/>
        <w:jc w:val="left"/>
        <w:rPr>
          <w:rFonts w:ascii="仿宋" w:hAnsi="仿宋" w:eastAsia="仿宋" w:cs="仿宋"/>
          <w:sz w:val="32"/>
          <w:szCs w:val="32"/>
        </w:rPr>
      </w:pPr>
      <w:bookmarkStart w:id="3" w:name="bookmark23"/>
      <w:r>
        <w:rPr>
          <w:rFonts w:hint="eastAsia" w:ascii="仿宋" w:hAnsi="仿宋" w:eastAsia="仿宋" w:cs="仿宋"/>
          <w:color w:val="000000"/>
          <w:sz w:val="32"/>
          <w:szCs w:val="32"/>
        </w:rPr>
        <w:t>一</w:t>
      </w:r>
      <w:bookmarkEnd w:id="3"/>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严格遵守财务纪律及各项财务规章制度；</w:t>
      </w:r>
    </w:p>
    <w:p>
      <w:pPr>
        <w:pStyle w:val="6"/>
        <w:tabs>
          <w:tab w:val="left" w:pos="1265"/>
        </w:tabs>
        <w:spacing w:line="360" w:lineRule="auto"/>
        <w:jc w:val="left"/>
        <w:rPr>
          <w:rFonts w:ascii="仿宋" w:hAnsi="仿宋" w:eastAsia="仿宋" w:cs="仿宋"/>
          <w:sz w:val="32"/>
          <w:szCs w:val="32"/>
        </w:rPr>
      </w:pPr>
      <w:bookmarkStart w:id="4" w:name="bookmark24"/>
      <w:r>
        <w:rPr>
          <w:rFonts w:hint="eastAsia" w:ascii="仿宋" w:hAnsi="仿宋" w:eastAsia="仿宋" w:cs="仿宋"/>
          <w:color w:val="000000"/>
          <w:sz w:val="32"/>
          <w:szCs w:val="32"/>
        </w:rPr>
        <w:t>二</w:t>
      </w:r>
      <w:bookmarkEnd w:id="4"/>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不参与网络兼职刷单；</w:t>
      </w:r>
    </w:p>
    <w:p>
      <w:pPr>
        <w:pStyle w:val="6"/>
        <w:tabs>
          <w:tab w:val="left" w:pos="1265"/>
        </w:tabs>
        <w:spacing w:line="360" w:lineRule="auto"/>
        <w:jc w:val="left"/>
        <w:rPr>
          <w:rFonts w:ascii="仿宋" w:hAnsi="仿宋" w:eastAsia="仿宋" w:cs="仿宋"/>
          <w:sz w:val="32"/>
          <w:szCs w:val="32"/>
        </w:rPr>
      </w:pPr>
      <w:bookmarkStart w:id="5" w:name="bookmark25"/>
      <w:r>
        <w:rPr>
          <w:rFonts w:hint="eastAsia" w:ascii="仿宋" w:hAnsi="仿宋" w:eastAsia="仿宋" w:cs="仿宋"/>
          <w:color w:val="000000"/>
          <w:sz w:val="32"/>
          <w:szCs w:val="32"/>
        </w:rPr>
        <w:t>三</w:t>
      </w:r>
      <w:bookmarkEnd w:id="5"/>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不提供手机卡、短信验证码给他人使用；</w:t>
      </w:r>
    </w:p>
    <w:p>
      <w:pPr>
        <w:pStyle w:val="6"/>
        <w:tabs>
          <w:tab w:val="left" w:pos="1265"/>
        </w:tabs>
        <w:spacing w:line="360" w:lineRule="auto"/>
        <w:jc w:val="left"/>
        <w:rPr>
          <w:rFonts w:ascii="仿宋" w:hAnsi="仿宋" w:eastAsia="仿宋" w:cs="仿宋"/>
          <w:sz w:val="32"/>
          <w:szCs w:val="32"/>
        </w:rPr>
      </w:pPr>
      <w:bookmarkStart w:id="6" w:name="bookmark26"/>
      <w:r>
        <w:rPr>
          <w:rFonts w:hint="eastAsia" w:ascii="仿宋" w:hAnsi="仿宋" w:eastAsia="仿宋" w:cs="仿宋"/>
          <w:color w:val="000000"/>
          <w:sz w:val="32"/>
          <w:szCs w:val="32"/>
        </w:rPr>
        <w:t>四</w:t>
      </w:r>
      <w:bookmarkEnd w:id="6"/>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不随意扫描不明二维码；</w:t>
      </w:r>
    </w:p>
    <w:p>
      <w:pPr>
        <w:pStyle w:val="6"/>
        <w:tabs>
          <w:tab w:val="left" w:pos="1265"/>
        </w:tabs>
        <w:spacing w:line="360" w:lineRule="auto"/>
        <w:jc w:val="left"/>
        <w:rPr>
          <w:rFonts w:ascii="仿宋" w:hAnsi="仿宋" w:eastAsia="仿宋" w:cs="仿宋"/>
          <w:sz w:val="32"/>
          <w:szCs w:val="32"/>
        </w:rPr>
      </w:pPr>
      <w:bookmarkStart w:id="7" w:name="bookmark27"/>
      <w:r>
        <w:rPr>
          <w:rFonts w:hint="eastAsia" w:ascii="仿宋" w:hAnsi="仿宋" w:eastAsia="仿宋" w:cs="仿宋"/>
          <w:color w:val="000000"/>
          <w:sz w:val="32"/>
          <w:szCs w:val="32"/>
        </w:rPr>
        <w:t>五</w:t>
      </w:r>
      <w:bookmarkEnd w:id="7"/>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不点击不明链接和网址；</w:t>
      </w:r>
    </w:p>
    <w:p>
      <w:pPr>
        <w:pStyle w:val="6"/>
        <w:tabs>
          <w:tab w:val="left" w:pos="1265"/>
        </w:tabs>
        <w:spacing w:line="360" w:lineRule="auto"/>
        <w:jc w:val="left"/>
        <w:rPr>
          <w:rFonts w:ascii="仿宋" w:hAnsi="仿宋" w:eastAsia="仿宋" w:cs="仿宋"/>
          <w:sz w:val="32"/>
          <w:szCs w:val="32"/>
        </w:rPr>
      </w:pPr>
      <w:bookmarkStart w:id="8" w:name="bookmark28"/>
      <w:r>
        <w:rPr>
          <w:rFonts w:hint="eastAsia" w:ascii="仿宋" w:hAnsi="仿宋" w:eastAsia="仿宋" w:cs="仿宋"/>
          <w:color w:val="000000"/>
          <w:sz w:val="32"/>
          <w:szCs w:val="32"/>
        </w:rPr>
        <w:t>六</w:t>
      </w:r>
      <w:bookmarkEnd w:id="8"/>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不在陌生网站填写登记个人资料、银行卡信息；</w:t>
      </w:r>
    </w:p>
    <w:p>
      <w:pPr>
        <w:pStyle w:val="6"/>
        <w:tabs>
          <w:tab w:val="left" w:pos="1265"/>
        </w:tabs>
        <w:spacing w:line="360" w:lineRule="auto"/>
        <w:jc w:val="left"/>
        <w:rPr>
          <w:rFonts w:ascii="仿宋" w:hAnsi="仿宋" w:eastAsia="仿宋" w:cs="仿宋"/>
          <w:sz w:val="32"/>
          <w:szCs w:val="32"/>
        </w:rPr>
      </w:pPr>
      <w:bookmarkStart w:id="9" w:name="bookmark29"/>
      <w:r>
        <w:rPr>
          <w:rFonts w:hint="eastAsia" w:ascii="仿宋" w:hAnsi="仿宋" w:eastAsia="仿宋" w:cs="仿宋"/>
          <w:color w:val="000000"/>
          <w:sz w:val="32"/>
          <w:szCs w:val="32"/>
        </w:rPr>
        <w:t>七</w:t>
      </w:r>
      <w:bookmarkEnd w:id="9"/>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拒接或不轻信陌生人电话；</w:t>
      </w:r>
    </w:p>
    <w:p>
      <w:pPr>
        <w:pStyle w:val="6"/>
        <w:tabs>
          <w:tab w:val="left" w:pos="1280"/>
        </w:tabs>
        <w:spacing w:line="360" w:lineRule="auto"/>
        <w:jc w:val="left"/>
        <w:rPr>
          <w:rFonts w:ascii="仿宋" w:hAnsi="仿宋" w:eastAsia="仿宋" w:cs="仿宋"/>
          <w:sz w:val="32"/>
          <w:szCs w:val="32"/>
        </w:rPr>
      </w:pPr>
      <w:bookmarkStart w:id="10" w:name="bookmark30"/>
      <w:r>
        <w:rPr>
          <w:rFonts w:hint="eastAsia" w:ascii="仿宋" w:hAnsi="仿宋" w:eastAsia="仿宋" w:cs="仿宋"/>
          <w:color w:val="000000"/>
          <w:sz w:val="32"/>
          <w:szCs w:val="32"/>
        </w:rPr>
        <w:t>八</w:t>
      </w:r>
      <w:bookmarkEnd w:id="10"/>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不向陌生人转账、汇款；</w:t>
      </w:r>
    </w:p>
    <w:p>
      <w:pPr>
        <w:pStyle w:val="6"/>
        <w:tabs>
          <w:tab w:val="left" w:pos="1280"/>
        </w:tabs>
        <w:spacing w:line="360" w:lineRule="auto"/>
        <w:jc w:val="left"/>
        <w:rPr>
          <w:rFonts w:hint="eastAsia" w:ascii="仿宋" w:hAnsi="仿宋" w:eastAsia="仿宋" w:cs="仿宋"/>
          <w:color w:val="000000"/>
          <w:sz w:val="32"/>
          <w:szCs w:val="32"/>
          <w:lang w:eastAsia="zh-CN"/>
        </w:rPr>
      </w:pPr>
      <w:bookmarkStart w:id="11" w:name="bookmark31"/>
      <w:r>
        <w:rPr>
          <w:rFonts w:hint="eastAsia" w:ascii="仿宋" w:hAnsi="仿宋" w:eastAsia="仿宋" w:cs="仿宋"/>
          <w:color w:val="000000"/>
          <w:sz w:val="32"/>
          <w:szCs w:val="32"/>
        </w:rPr>
        <w:t>九</w:t>
      </w:r>
      <w:bookmarkEnd w:id="11"/>
      <w:r>
        <w:rPr>
          <w:rFonts w:hint="eastAsia" w:ascii="仿宋" w:hAnsi="仿宋" w:eastAsia="仿宋" w:cs="仿宋"/>
          <w:color w:val="000000"/>
          <w:sz w:val="32"/>
          <w:szCs w:val="32"/>
        </w:rPr>
        <w:t>、</w:t>
      </w:r>
      <w:r>
        <w:rPr>
          <w:rFonts w:hint="eastAsia" w:ascii="仿宋" w:hAnsi="仿宋" w:eastAsia="仿宋" w:cs="仿宋"/>
          <w:color w:val="000000"/>
          <w:sz w:val="32"/>
          <w:szCs w:val="32"/>
        </w:rPr>
        <w:tab/>
      </w:r>
      <w:r>
        <w:rPr>
          <w:rFonts w:hint="eastAsia" w:ascii="仿宋" w:hAnsi="仿宋" w:eastAsia="仿宋" w:cs="仿宋"/>
          <w:color w:val="000000"/>
          <w:sz w:val="32"/>
          <w:szCs w:val="32"/>
        </w:rPr>
        <w:t>不接受以“公检法</w:t>
      </w:r>
      <w:r>
        <w:rPr>
          <w:rFonts w:hint="eastAsia" w:ascii="仿宋" w:hAnsi="仿宋" w:eastAsia="仿宋" w:cs="仿宋"/>
          <w:color w:val="000000"/>
          <w:sz w:val="32"/>
          <w:szCs w:val="32"/>
          <w:lang w:val="zh-CN" w:eastAsia="zh-CN" w:bidi="zh-CN"/>
        </w:rPr>
        <w:t>”名义</w:t>
      </w:r>
      <w:r>
        <w:rPr>
          <w:rFonts w:hint="eastAsia" w:ascii="仿宋" w:hAnsi="仿宋" w:eastAsia="仿宋" w:cs="仿宋"/>
          <w:color w:val="000000"/>
          <w:sz w:val="32"/>
          <w:szCs w:val="32"/>
        </w:rPr>
        <w:t>要求向</w:t>
      </w:r>
      <w:r>
        <w:rPr>
          <w:rFonts w:hint="eastAsia" w:ascii="仿宋" w:hAnsi="仿宋" w:eastAsia="仿宋" w:cs="仿宋"/>
          <w:color w:val="000000"/>
          <w:sz w:val="32"/>
          <w:szCs w:val="32"/>
          <w:lang w:val="zh-CN" w:eastAsia="zh-CN" w:bidi="zh-CN"/>
        </w:rPr>
        <w:t>“安全</w:t>
      </w:r>
      <w:r>
        <w:rPr>
          <w:rFonts w:hint="eastAsia" w:ascii="仿宋" w:hAnsi="仿宋" w:eastAsia="仿宋" w:cs="仿宋"/>
          <w:color w:val="000000"/>
          <w:sz w:val="32"/>
          <w:szCs w:val="32"/>
        </w:rPr>
        <w:t>账户”转款；</w:t>
      </w:r>
    </w:p>
    <w:p>
      <w:pPr>
        <w:pStyle w:val="6"/>
        <w:tabs>
          <w:tab w:val="left" w:pos="1438"/>
        </w:tabs>
        <w:spacing w:line="360" w:lineRule="auto"/>
        <w:jc w:val="left"/>
        <w:rPr>
          <w:rFonts w:ascii="仿宋" w:hAnsi="仿宋" w:eastAsia="仿宋" w:cs="仿宋"/>
          <w:sz w:val="32"/>
          <w:szCs w:val="32"/>
        </w:rPr>
      </w:pPr>
      <w:r>
        <w:rPr>
          <w:rFonts w:hint="eastAsia" w:ascii="仿宋" w:hAnsi="仿宋" w:eastAsia="仿宋" w:cs="仿宋"/>
          <w:color w:val="000000"/>
          <w:sz w:val="32"/>
          <w:szCs w:val="32"/>
        </w:rPr>
        <w:t>十、不接受网络、电话推介投资理财炒股。</w:t>
      </w:r>
    </w:p>
    <w:p>
      <w:pPr>
        <w:pStyle w:val="6"/>
        <w:spacing w:after="580" w:line="360" w:lineRule="auto"/>
        <w:jc w:val="left"/>
        <w:rPr>
          <w:rFonts w:ascii="仿宋" w:hAnsi="仿宋" w:eastAsia="仿宋" w:cs="仿宋"/>
          <w:color w:val="000000"/>
          <w:sz w:val="32"/>
          <w:szCs w:val="32"/>
        </w:rPr>
      </w:pPr>
      <w:r>
        <w:rPr>
          <w:rFonts w:hint="eastAsia" w:ascii="仿宋" w:hAnsi="仿宋" w:eastAsia="仿宋" w:cs="仿宋"/>
          <w:color w:val="000000"/>
          <w:sz w:val="32"/>
          <w:szCs w:val="32"/>
        </w:rPr>
        <w:t>如遇受骗或有不明事项，第一时间拨打110求助。 我已阅读以上提醒，并告知家人和朋友，保证遵照执行。</w:t>
      </w:r>
    </w:p>
    <w:p>
      <w:pPr>
        <w:pStyle w:val="6"/>
        <w:tabs>
          <w:tab w:val="left" w:pos="5567"/>
        </w:tabs>
        <w:spacing w:after="580" w:line="360" w:lineRule="auto"/>
        <w:ind w:firstLine="822"/>
        <w:jc w:val="left"/>
        <w:rPr>
          <w:rFonts w:ascii="仿宋" w:hAnsi="仿宋" w:eastAsia="仿宋" w:cs="仿宋"/>
          <w:color w:val="000000"/>
          <w:sz w:val="32"/>
          <w:szCs w:val="32"/>
        </w:rPr>
      </w:pPr>
    </w:p>
    <w:p>
      <w:pPr>
        <w:pStyle w:val="6"/>
        <w:tabs>
          <w:tab w:val="left" w:pos="5567"/>
        </w:tabs>
        <w:spacing w:after="580" w:line="360" w:lineRule="auto"/>
        <w:ind w:firstLine="822"/>
        <w:jc w:val="left"/>
        <w:rPr>
          <w:rFonts w:ascii="仿宋" w:hAnsi="仿宋" w:eastAsia="仿宋" w:cs="仿宋"/>
          <w:sz w:val="32"/>
          <w:szCs w:val="32"/>
          <w:lang w:val="en-US" w:eastAsia="zh-CN"/>
        </w:rPr>
      </w:pPr>
      <w:r>
        <w:rPr>
          <w:rFonts w:hint="eastAsia" w:ascii="仿宋" w:hAnsi="仿宋" w:eastAsia="仿宋" w:cs="仿宋"/>
          <w:color w:val="000000"/>
          <w:sz w:val="32"/>
          <w:szCs w:val="32"/>
        </w:rPr>
        <w:t>签字人：</w:t>
      </w:r>
      <w:r>
        <w:rPr>
          <w:rFonts w:hint="eastAsia" w:ascii="仿宋" w:hAnsi="仿宋" w:eastAsia="仿宋" w:cs="仿宋"/>
          <w:color w:val="000000"/>
          <w:sz w:val="32"/>
          <w:szCs w:val="32"/>
        </w:rPr>
        <w:tab/>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0F8B6"/>
    <w:multiLevelType w:val="singleLevel"/>
    <w:tmpl w:val="8930F8B6"/>
    <w:lvl w:ilvl="0" w:tentative="0">
      <w:start w:val="1"/>
      <w:numFmt w:val="decimal"/>
      <w:lvlText w:val="%1."/>
      <w:lvlJc w:val="left"/>
      <w:pPr>
        <w:tabs>
          <w:tab w:val="left" w:pos="1021"/>
        </w:tabs>
      </w:pPr>
    </w:lvl>
  </w:abstractNum>
  <w:abstractNum w:abstractNumId="1">
    <w:nsid w:val="B85012DB"/>
    <w:multiLevelType w:val="singleLevel"/>
    <w:tmpl w:val="B85012DB"/>
    <w:lvl w:ilvl="0" w:tentative="0">
      <w:start w:val="2"/>
      <w:numFmt w:val="decimal"/>
      <w:lvlText w:val="%1."/>
      <w:lvlJc w:val="left"/>
      <w:pPr>
        <w:tabs>
          <w:tab w:val="left" w:pos="312"/>
        </w:tabs>
      </w:pPr>
    </w:lvl>
  </w:abstractNum>
  <w:abstractNum w:abstractNumId="2">
    <w:nsid w:val="DC0376BD"/>
    <w:multiLevelType w:val="singleLevel"/>
    <w:tmpl w:val="DC0376B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42F82"/>
    <w:rsid w:val="00546B69"/>
    <w:rsid w:val="00822C76"/>
    <w:rsid w:val="00857EE6"/>
    <w:rsid w:val="00B02171"/>
    <w:rsid w:val="00B9682E"/>
    <w:rsid w:val="00DD2B27"/>
    <w:rsid w:val="328D6263"/>
    <w:rsid w:val="341F6C6F"/>
    <w:rsid w:val="41630DFE"/>
    <w:rsid w:val="41E93C91"/>
    <w:rsid w:val="46393D27"/>
    <w:rsid w:val="5E7D56A5"/>
    <w:rsid w:val="68734BEA"/>
    <w:rsid w:val="69542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Heading #2|1"/>
    <w:basedOn w:val="1"/>
    <w:qFormat/>
    <w:uiPriority w:val="0"/>
    <w:pPr>
      <w:spacing w:after="510" w:line="648" w:lineRule="exact"/>
      <w:jc w:val="center"/>
      <w:outlineLvl w:val="1"/>
    </w:pPr>
    <w:rPr>
      <w:rFonts w:ascii="宋体" w:hAnsi="宋体" w:eastAsia="宋体" w:cs="宋体"/>
      <w:sz w:val="40"/>
      <w:szCs w:val="40"/>
      <w:lang w:val="zh-TW" w:eastAsia="zh-TW" w:bidi="zh-TW"/>
    </w:rPr>
  </w:style>
  <w:style w:type="paragraph" w:customStyle="1" w:styleId="6">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167</Words>
  <Characters>956</Characters>
  <Lines>7</Lines>
  <Paragraphs>2</Paragraphs>
  <TotalTime>0</TotalTime>
  <ScaleCrop>false</ScaleCrop>
  <LinksUpToDate>false</LinksUpToDate>
  <CharactersWithSpaces>1121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2020-05-15T01:53:00Z</dcterms:created>
  <dc:creator>舍得</dc:creator>
  <cp:lastModifiedBy>舍得</cp:lastModifiedBy>
  <dcterms:modified xsi:type="dcterms:W3CDTF">2020-05-28T15:10:24Z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